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B58F8" w14:textId="44512A05" w:rsidR="001A5C2C" w:rsidRPr="00A50AF2" w:rsidRDefault="001A5C2C" w:rsidP="001A5C2C">
      <w:pPr>
        <w:pStyle w:val="KeinLeerraum"/>
        <w:rPr>
          <w:b/>
          <w:sz w:val="34"/>
          <w:szCs w:val="32"/>
        </w:rPr>
      </w:pPr>
      <w:r w:rsidRPr="00A50AF2">
        <w:rPr>
          <w:b/>
          <w:sz w:val="34"/>
          <w:szCs w:val="32"/>
        </w:rPr>
        <w:t>„Strahlungsfrei aufs Frühstücks-Ei“</w:t>
      </w:r>
    </w:p>
    <w:p w14:paraId="5732A89A" w14:textId="7C85B747" w:rsidR="001A5C2C" w:rsidRPr="00CC2ADB" w:rsidRDefault="00CC2ADB" w:rsidP="001A5C2C">
      <w:pPr>
        <w:pStyle w:val="KeinLeerraum"/>
        <w:rPr>
          <w:sz w:val="26"/>
          <w:szCs w:val="24"/>
        </w:rPr>
      </w:pPr>
      <w:r w:rsidRPr="00CC2ADB">
        <w:rPr>
          <w:sz w:val="26"/>
          <w:szCs w:val="24"/>
        </w:rPr>
        <w:t xml:space="preserve">oder </w:t>
      </w:r>
    </w:p>
    <w:p w14:paraId="5CC2D7E3" w14:textId="7B1ABBC0" w:rsidR="00CC2ADB" w:rsidRPr="00CC2ADB" w:rsidRDefault="00CC2ADB" w:rsidP="001A5C2C">
      <w:pPr>
        <w:pStyle w:val="KeinLeerraum"/>
        <w:rPr>
          <w:b/>
          <w:sz w:val="34"/>
          <w:szCs w:val="32"/>
        </w:rPr>
      </w:pPr>
      <w:r w:rsidRPr="00CC2ADB">
        <w:rPr>
          <w:b/>
          <w:sz w:val="34"/>
          <w:szCs w:val="32"/>
        </w:rPr>
        <w:t>„Besser Salz fördern als Atommüll lagern“</w:t>
      </w:r>
    </w:p>
    <w:p w14:paraId="12F305A2" w14:textId="77777777" w:rsidR="00CC2ADB" w:rsidRPr="00CC2ADB" w:rsidRDefault="00CC2ADB" w:rsidP="001A5C2C">
      <w:pPr>
        <w:pStyle w:val="KeinLeerraum"/>
        <w:rPr>
          <w:b/>
          <w:sz w:val="34"/>
          <w:szCs w:val="32"/>
        </w:rPr>
      </w:pPr>
    </w:p>
    <w:p w14:paraId="600C4C65" w14:textId="1B628610" w:rsidR="001A5C2C" w:rsidRPr="00A50AF2" w:rsidRDefault="001A5C2C" w:rsidP="001A5C2C">
      <w:pPr>
        <w:pStyle w:val="Listenabsatz"/>
        <w:numPr>
          <w:ilvl w:val="0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Ich spreche </w:t>
      </w:r>
      <w:r w:rsidRPr="00A50AF2">
        <w:rPr>
          <w:sz w:val="30"/>
          <w:szCs w:val="28"/>
        </w:rPr>
        <w:t xml:space="preserve">hier </w:t>
      </w:r>
      <w:r w:rsidRPr="00A50AF2">
        <w:rPr>
          <w:sz w:val="30"/>
          <w:szCs w:val="28"/>
        </w:rPr>
        <w:t xml:space="preserve">für die Gesellschafter der </w:t>
      </w:r>
      <w:r w:rsidRPr="00A50AF2">
        <w:rPr>
          <w:sz w:val="30"/>
          <w:szCs w:val="28"/>
        </w:rPr>
        <w:t xml:space="preserve">SALINAS </w:t>
      </w:r>
      <w:proofErr w:type="spellStart"/>
      <w:r w:rsidRPr="00A50AF2">
        <w:rPr>
          <w:sz w:val="30"/>
          <w:szCs w:val="28"/>
        </w:rPr>
        <w:t>Salzgut</w:t>
      </w:r>
      <w:proofErr w:type="spellEnd"/>
      <w:r w:rsidRPr="00A50AF2">
        <w:rPr>
          <w:sz w:val="30"/>
          <w:szCs w:val="28"/>
        </w:rPr>
        <w:t xml:space="preserve"> GmbH Gorleben.</w:t>
      </w:r>
    </w:p>
    <w:p w14:paraId="7B2ED986" w14:textId="77777777" w:rsidR="001A5C2C" w:rsidRPr="00A50AF2" w:rsidRDefault="001A5C2C" w:rsidP="001A5C2C">
      <w:pPr>
        <w:pStyle w:val="Listenabsatz"/>
        <w:ind w:left="360"/>
        <w:rPr>
          <w:sz w:val="30"/>
          <w:szCs w:val="28"/>
        </w:rPr>
      </w:pPr>
    </w:p>
    <w:p w14:paraId="4AC8AC9B" w14:textId="77777777" w:rsidR="001A5C2C" w:rsidRPr="00A50AF2" w:rsidRDefault="001A5C2C" w:rsidP="001A5C2C">
      <w:pPr>
        <w:pStyle w:val="KeinLeerraum"/>
        <w:numPr>
          <w:ilvl w:val="0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eine Idee mit sehr ernstem Hintergrund</w:t>
      </w:r>
    </w:p>
    <w:p w14:paraId="7EAB139F" w14:textId="02BDA3EF" w:rsidR="001A5C2C" w:rsidRPr="00A50AF2" w:rsidRDefault="001A5C2C" w:rsidP="001A5C2C">
      <w:pPr>
        <w:pStyle w:val="KeinLeerraum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Endlager-Erkundung des Salzstockes erfolgte nicht nach Atomrecht, sondern nach Bergrecht.</w:t>
      </w:r>
    </w:p>
    <w:p w14:paraId="285E566A" w14:textId="3B6D2E20" w:rsidR="001A5C2C" w:rsidRPr="00A50AF2" w:rsidRDefault="001A5C2C" w:rsidP="001A5C2C">
      <w:pPr>
        <w:pStyle w:val="KeinLeerraum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So Vermeidung eines Atomrechtlichen Genehmigungsverfahrens mit entsprechender Öffentlichkeitsbeteiligung</w:t>
      </w:r>
    </w:p>
    <w:p w14:paraId="23224803" w14:textId="6A5AFC93" w:rsidR="001A5C2C" w:rsidRPr="00A50AF2" w:rsidRDefault="001A5C2C" w:rsidP="001A5C2C">
      <w:pPr>
        <w:pStyle w:val="KeinLeerraum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Entsprechend war dann auch das Verfahren</w:t>
      </w:r>
    </w:p>
    <w:p w14:paraId="786792BB" w14:textId="61E7C6FA" w:rsidR="001A5C2C" w:rsidRPr="00A50AF2" w:rsidRDefault="001A5C2C" w:rsidP="001A5C2C">
      <w:pPr>
        <w:pStyle w:val="KeinLeerraum"/>
        <w:numPr>
          <w:ilvl w:val="2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Geheim + privatwirtschaftlich</w:t>
      </w:r>
    </w:p>
    <w:p w14:paraId="2D5589F6" w14:textId="12C62BAC" w:rsidR="001A5C2C" w:rsidRPr="00A50AF2" w:rsidRDefault="001A5C2C" w:rsidP="001A5C2C">
      <w:pPr>
        <w:pStyle w:val="KeinLeerraum"/>
        <w:numPr>
          <w:ilvl w:val="2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Standards wurden an die gefundenen Ergebnisse angepasst („Zielscheibe“)</w:t>
      </w:r>
    </w:p>
    <w:p w14:paraId="5891F371" w14:textId="22B92CB2" w:rsidR="001A5C2C" w:rsidRPr="00A50AF2" w:rsidRDefault="001A5C2C" w:rsidP="001A5C2C">
      <w:pPr>
        <w:pStyle w:val="KeinLeerraum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In dieser Phase entstand die Idee, nicht (wie die Atomindustrie) zu </w:t>
      </w:r>
      <w:r w:rsidRPr="00A50AF2">
        <w:rPr>
          <w:sz w:val="30"/>
          <w:szCs w:val="28"/>
          <w:u w:val="single"/>
        </w:rPr>
        <w:t>erkunden</w:t>
      </w:r>
      <w:r w:rsidRPr="00A50AF2">
        <w:rPr>
          <w:sz w:val="30"/>
          <w:szCs w:val="28"/>
        </w:rPr>
        <w:t xml:space="preserve">, um anschließend </w:t>
      </w:r>
      <w:proofErr w:type="gramStart"/>
      <w:r w:rsidRPr="00A50AF2">
        <w:rPr>
          <w:sz w:val="30"/>
          <w:szCs w:val="28"/>
        </w:rPr>
        <w:t>des Salzstock</w:t>
      </w:r>
      <w:proofErr w:type="gramEnd"/>
      <w:r w:rsidRPr="00A50AF2">
        <w:rPr>
          <w:sz w:val="30"/>
          <w:szCs w:val="28"/>
        </w:rPr>
        <w:t xml:space="preserve"> mit atomaren Abfällen zu verunreinigen</w:t>
      </w:r>
    </w:p>
    <w:p w14:paraId="6578670A" w14:textId="422F1158" w:rsidR="001A5C2C" w:rsidRPr="00A50AF2" w:rsidRDefault="001A5C2C" w:rsidP="001A5C2C">
      <w:pPr>
        <w:pStyle w:val="KeinLeerraum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Sondern vielmehr den im Sa</w:t>
      </w:r>
      <w:r w:rsidR="002B46D6" w:rsidRPr="00A50AF2">
        <w:rPr>
          <w:sz w:val="30"/>
          <w:szCs w:val="28"/>
        </w:rPr>
        <w:t>l</w:t>
      </w:r>
      <w:r w:rsidRPr="00A50AF2">
        <w:rPr>
          <w:sz w:val="30"/>
          <w:szCs w:val="28"/>
        </w:rPr>
        <w:t xml:space="preserve">zstock lagernden Rohstoff Salz zu </w:t>
      </w:r>
      <w:r w:rsidRPr="00A50AF2">
        <w:rPr>
          <w:sz w:val="30"/>
          <w:szCs w:val="28"/>
          <w:u w:val="single"/>
        </w:rPr>
        <w:t>förde</w:t>
      </w:r>
      <w:r w:rsidR="002B46D6" w:rsidRPr="00A50AF2">
        <w:rPr>
          <w:sz w:val="30"/>
          <w:szCs w:val="28"/>
          <w:u w:val="single"/>
        </w:rPr>
        <w:t>rn</w:t>
      </w:r>
    </w:p>
    <w:p w14:paraId="1F06912A" w14:textId="241B2A04" w:rsidR="002B46D6" w:rsidRPr="00A50AF2" w:rsidRDefault="002B46D6" w:rsidP="001A5C2C">
      <w:pPr>
        <w:pStyle w:val="KeinLeerraum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Der Clou dabei:</w:t>
      </w:r>
    </w:p>
    <w:p w14:paraId="295A8754" w14:textId="73CC0C84" w:rsidR="002B46D6" w:rsidRPr="00A50AF2" w:rsidRDefault="002B46D6" w:rsidP="002B46D6">
      <w:pPr>
        <w:pStyle w:val="KeinLeerraum"/>
        <w:numPr>
          <w:ilvl w:val="2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Nach dem von der Gegenseite gewählten Bergrecht hat die Förderung von Rohstoffen Vorrang vor der Erkundung</w:t>
      </w:r>
    </w:p>
    <w:p w14:paraId="655EB80D" w14:textId="77777777" w:rsidR="00A50AF2" w:rsidRPr="00A50AF2" w:rsidRDefault="00A50AF2" w:rsidP="00A50AF2">
      <w:pPr>
        <w:pStyle w:val="Listenabsatz"/>
        <w:ind w:left="360"/>
        <w:rPr>
          <w:sz w:val="30"/>
          <w:szCs w:val="28"/>
        </w:rPr>
      </w:pPr>
    </w:p>
    <w:p w14:paraId="6E79EE93" w14:textId="3156AE05" w:rsidR="001A5C2C" w:rsidRPr="00A50AF2" w:rsidRDefault="002B46D6" w:rsidP="001A5C2C">
      <w:pPr>
        <w:pStyle w:val="Listenabsatz"/>
        <w:numPr>
          <w:ilvl w:val="0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Es wurde also 1996 </w:t>
      </w:r>
      <w:r w:rsidRPr="00A50AF2">
        <w:rPr>
          <w:sz w:val="30"/>
          <w:szCs w:val="28"/>
        </w:rPr>
        <w:t xml:space="preserve">das Wirtschaftsunternehmen </w:t>
      </w:r>
      <w:r w:rsidRPr="00A50AF2">
        <w:rPr>
          <w:sz w:val="30"/>
          <w:szCs w:val="28"/>
        </w:rPr>
        <w:t>SALINAS GmbH gegründet, also vor fast 30 Jahren:</w:t>
      </w:r>
    </w:p>
    <w:p w14:paraId="69216CCB" w14:textId="46836DB8" w:rsidR="002B46D6" w:rsidRPr="00A50AF2" w:rsidRDefault="002B46D6" w:rsidP="002B46D6">
      <w:pPr>
        <w:pStyle w:val="Listenabsatz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Über 1000 Gesellschafter zeichneten Anteile von jeweils DM 500 </w:t>
      </w:r>
    </w:p>
    <w:p w14:paraId="2A7B91E7" w14:textId="77777777" w:rsidR="002B46D6" w:rsidRPr="00A50AF2" w:rsidRDefault="002B46D6" w:rsidP="002B46D6">
      <w:pPr>
        <w:pStyle w:val="Listenabsatz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Mit dem Geld wurden dann </w:t>
      </w:r>
    </w:p>
    <w:p w14:paraId="46D429CF" w14:textId="77777777" w:rsidR="002B46D6" w:rsidRPr="00A50AF2" w:rsidRDefault="002B46D6" w:rsidP="002B46D6">
      <w:pPr>
        <w:pStyle w:val="Listenabsatz"/>
        <w:numPr>
          <w:ilvl w:val="2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ein bergrechtliches Genehmigungsverfahren finanziert, </w:t>
      </w:r>
    </w:p>
    <w:p w14:paraId="54503587" w14:textId="6AFD269A" w:rsidR="002B46D6" w:rsidRPr="00A50AF2" w:rsidRDefault="002B46D6" w:rsidP="00973AF0">
      <w:pPr>
        <w:pStyle w:val="Listenabsatz"/>
        <w:numPr>
          <w:ilvl w:val="2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es wurden Anträge beim Bergamt für die Errichtung eines SALINAS-Bergwerkes gestellt (in unmittelbare Sichtweite zu dem Erkundungsbergwerk)</w:t>
      </w:r>
      <w:r w:rsidR="00973AF0" w:rsidRPr="00A50AF2">
        <w:rPr>
          <w:sz w:val="30"/>
          <w:szCs w:val="28"/>
        </w:rPr>
        <w:t xml:space="preserve"> „</w:t>
      </w:r>
      <w:r w:rsidR="00973AF0" w:rsidRPr="00A50AF2">
        <w:rPr>
          <w:sz w:val="30"/>
          <w:szCs w:val="28"/>
        </w:rPr>
        <w:sym w:font="Wingdings" w:char="F0E8"/>
      </w:r>
      <w:r w:rsidRPr="00A50AF2">
        <w:rPr>
          <w:sz w:val="30"/>
          <w:szCs w:val="28"/>
        </w:rPr>
        <w:t>Begegnungsverkehr</w:t>
      </w:r>
    </w:p>
    <w:p w14:paraId="1A15E58C" w14:textId="3D4E5081" w:rsidR="00A50AF2" w:rsidRPr="00A50AF2" w:rsidRDefault="00A50AF2" w:rsidP="00973AF0">
      <w:pPr>
        <w:pStyle w:val="Listenabsatz"/>
        <w:numPr>
          <w:ilvl w:val="2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Es wurde auch ein eigener Vertrieb mit „SALINAS-SALZ“ aufgezogen – mit der revolutionären Neuerung: Salzpackung = Flugblatt</w:t>
      </w:r>
    </w:p>
    <w:p w14:paraId="56E24755" w14:textId="5CD15C93" w:rsidR="00973AF0" w:rsidRPr="00A50AF2" w:rsidRDefault="00973AF0" w:rsidP="00973AF0">
      <w:pPr>
        <w:pStyle w:val="Listenabsatz"/>
        <w:numPr>
          <w:ilvl w:val="0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Salzrechte</w:t>
      </w:r>
    </w:p>
    <w:p w14:paraId="3E4EDD54" w14:textId="7775BC8E" w:rsidR="00973AF0" w:rsidRPr="00A50AF2" w:rsidRDefault="00973AF0" w:rsidP="00973AF0">
      <w:pPr>
        <w:pStyle w:val="Listenabsatz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Besonderheit in Gorleben: Graf Bernstorff und die Kirchen besitzen die Rechte an einem Drittel des Salzstockes</w:t>
      </w:r>
    </w:p>
    <w:p w14:paraId="09DE0D44" w14:textId="55B891DB" w:rsidR="00973AF0" w:rsidRPr="00A50AF2" w:rsidRDefault="00973AF0" w:rsidP="00973AF0">
      <w:pPr>
        <w:pStyle w:val="Listenabsatz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SALINAS hat diese Salzrechte 1996 von Graf Bernstorff gepachtet – und so eine grundeigentümergleich Rechtsposition </w:t>
      </w:r>
      <w:r w:rsidR="00A50AF2" w:rsidRPr="00A50AF2">
        <w:rPr>
          <w:sz w:val="30"/>
          <w:szCs w:val="28"/>
        </w:rPr>
        <w:t>erlangt – mit allen Klagerechten</w:t>
      </w:r>
    </w:p>
    <w:p w14:paraId="72485438" w14:textId="77777777" w:rsidR="00A50AF2" w:rsidRPr="00A50AF2" w:rsidRDefault="00A50AF2" w:rsidP="00A50AF2">
      <w:pPr>
        <w:pStyle w:val="Listenabsatz"/>
        <w:ind w:left="360"/>
        <w:rPr>
          <w:sz w:val="30"/>
          <w:szCs w:val="28"/>
        </w:rPr>
      </w:pPr>
    </w:p>
    <w:p w14:paraId="5F6C694B" w14:textId="77777777" w:rsidR="00A50AF2" w:rsidRPr="00A50AF2" w:rsidRDefault="002B46D6" w:rsidP="00973AF0">
      <w:pPr>
        <w:pStyle w:val="Listenabsatz"/>
        <w:numPr>
          <w:ilvl w:val="0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Das </w:t>
      </w:r>
      <w:r w:rsidR="00A50AF2" w:rsidRPr="00A50AF2">
        <w:rPr>
          <w:sz w:val="30"/>
          <w:szCs w:val="28"/>
        </w:rPr>
        <w:t xml:space="preserve">alles wurde </w:t>
      </w:r>
      <w:proofErr w:type="gramStart"/>
      <w:r w:rsidRPr="00A50AF2">
        <w:rPr>
          <w:sz w:val="30"/>
          <w:szCs w:val="28"/>
        </w:rPr>
        <w:t>natürlich nicht</w:t>
      </w:r>
      <w:proofErr w:type="gramEnd"/>
      <w:r w:rsidRPr="00A50AF2">
        <w:rPr>
          <w:sz w:val="30"/>
          <w:szCs w:val="28"/>
        </w:rPr>
        <w:t xml:space="preserve"> genehmigt </w:t>
      </w:r>
    </w:p>
    <w:p w14:paraId="48701EBE" w14:textId="698CF3A8" w:rsidR="002B46D6" w:rsidRPr="00A50AF2" w:rsidRDefault="002B46D6" w:rsidP="00A50AF2">
      <w:pPr>
        <w:pStyle w:val="Listenabsatz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es mussten zah</w:t>
      </w:r>
      <w:r w:rsidR="00973AF0" w:rsidRPr="00A50AF2">
        <w:rPr>
          <w:sz w:val="30"/>
          <w:szCs w:val="28"/>
        </w:rPr>
        <w:t>l</w:t>
      </w:r>
      <w:r w:rsidRPr="00A50AF2">
        <w:rPr>
          <w:sz w:val="30"/>
          <w:szCs w:val="28"/>
        </w:rPr>
        <w:t>lose verwaltungsgerichtliche Verfahren mit unserem famosen RA N</w:t>
      </w:r>
      <w:r w:rsidR="00973AF0" w:rsidRPr="00A50AF2">
        <w:rPr>
          <w:sz w:val="30"/>
          <w:szCs w:val="28"/>
        </w:rPr>
        <w:t>i</w:t>
      </w:r>
      <w:r w:rsidRPr="00A50AF2">
        <w:rPr>
          <w:sz w:val="30"/>
          <w:szCs w:val="28"/>
        </w:rPr>
        <w:t>kolaus Piontek geführt werden</w:t>
      </w:r>
    </w:p>
    <w:p w14:paraId="27D7EE02" w14:textId="5BD3DA29" w:rsidR="00973AF0" w:rsidRPr="00A50AF2" w:rsidRDefault="00973AF0" w:rsidP="00A50AF2">
      <w:pPr>
        <w:pStyle w:val="Listenabsatz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Die Verfahren wurden auch überwiegend gewonnen, jedenfalls in den ersten Instanzen</w:t>
      </w:r>
    </w:p>
    <w:p w14:paraId="5467B7F2" w14:textId="77777777" w:rsidR="00A50AF2" w:rsidRPr="00A50AF2" w:rsidRDefault="00A50AF2" w:rsidP="00A50AF2">
      <w:pPr>
        <w:pStyle w:val="Listenabsatz"/>
        <w:ind w:left="1080"/>
        <w:rPr>
          <w:sz w:val="30"/>
          <w:szCs w:val="28"/>
        </w:rPr>
      </w:pPr>
    </w:p>
    <w:p w14:paraId="1C091BD2" w14:textId="5AA40277" w:rsidR="00973AF0" w:rsidRPr="00A50AF2" w:rsidRDefault="00973AF0" w:rsidP="00973AF0">
      <w:pPr>
        <w:pStyle w:val="Listenabsatz"/>
        <w:numPr>
          <w:ilvl w:val="0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Schließlich musste der Staat darauf reagieren </w:t>
      </w:r>
    </w:p>
    <w:p w14:paraId="65773305" w14:textId="77777777" w:rsidR="00973AF0" w:rsidRPr="00A50AF2" w:rsidRDefault="00973AF0" w:rsidP="00973AF0">
      <w:pPr>
        <w:pStyle w:val="Listenabsatz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Lex Salinas: </w:t>
      </w:r>
    </w:p>
    <w:p w14:paraId="438B10E6" w14:textId="69B1CFA1" w:rsidR="00973AF0" w:rsidRPr="00A50AF2" w:rsidRDefault="00973AF0" w:rsidP="00973AF0">
      <w:pPr>
        <w:pStyle w:val="Listenabsatz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Anpassung des Atomgesetzes</w:t>
      </w:r>
    </w:p>
    <w:p w14:paraId="514B2D47" w14:textId="35A83898" w:rsidR="002B46D6" w:rsidRPr="00A50AF2" w:rsidRDefault="00973AF0" w:rsidP="002B46D6">
      <w:pPr>
        <w:pStyle w:val="Listenabsatz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Während </w:t>
      </w:r>
      <w:r w:rsidR="00A50AF2" w:rsidRPr="00A50AF2">
        <w:rPr>
          <w:sz w:val="30"/>
          <w:szCs w:val="28"/>
        </w:rPr>
        <w:t>der Atom-</w:t>
      </w:r>
      <w:r w:rsidRPr="00A50AF2">
        <w:rPr>
          <w:sz w:val="30"/>
          <w:szCs w:val="28"/>
        </w:rPr>
        <w:t>Erkundung</w:t>
      </w:r>
      <w:r w:rsidR="00A50AF2" w:rsidRPr="00A50AF2">
        <w:rPr>
          <w:sz w:val="30"/>
          <w:szCs w:val="28"/>
        </w:rPr>
        <w:t xml:space="preserve">: </w:t>
      </w:r>
      <w:r w:rsidRPr="00A50AF2">
        <w:rPr>
          <w:sz w:val="30"/>
          <w:szCs w:val="28"/>
        </w:rPr>
        <w:t xml:space="preserve"> Moratorium für andere bergrechtliche Verfahren, also auch für SALINAS</w:t>
      </w:r>
    </w:p>
    <w:p w14:paraId="147791C6" w14:textId="02877A96" w:rsidR="00973AF0" w:rsidRPr="00A50AF2" w:rsidRDefault="00973AF0" w:rsidP="002B46D6">
      <w:pPr>
        <w:pStyle w:val="Listenabsatz"/>
        <w:numPr>
          <w:ilvl w:val="1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 xml:space="preserve">Was </w:t>
      </w:r>
      <w:proofErr w:type="gramStart"/>
      <w:r w:rsidRPr="00A50AF2">
        <w:rPr>
          <w:sz w:val="30"/>
          <w:szCs w:val="28"/>
        </w:rPr>
        <w:t>natürlich wiederum</w:t>
      </w:r>
      <w:proofErr w:type="gramEnd"/>
      <w:r w:rsidRPr="00A50AF2">
        <w:rPr>
          <w:sz w:val="30"/>
          <w:szCs w:val="28"/>
        </w:rPr>
        <w:t xml:space="preserve"> beklagt wurde</w:t>
      </w:r>
    </w:p>
    <w:p w14:paraId="37CA56C0" w14:textId="26CAA1D1" w:rsidR="00973AF0" w:rsidRPr="00A50AF2" w:rsidRDefault="00973AF0" w:rsidP="002B46D6">
      <w:pPr>
        <w:pStyle w:val="Listenabsatz"/>
        <w:numPr>
          <w:ilvl w:val="1"/>
          <w:numId w:val="4"/>
        </w:numPr>
        <w:rPr>
          <w:sz w:val="30"/>
          <w:szCs w:val="28"/>
        </w:rPr>
      </w:pPr>
      <w:proofErr w:type="spellStart"/>
      <w:r w:rsidRPr="00A50AF2">
        <w:rPr>
          <w:sz w:val="30"/>
          <w:szCs w:val="28"/>
        </w:rPr>
        <w:t>u.s.w</w:t>
      </w:r>
      <w:proofErr w:type="spellEnd"/>
      <w:r w:rsidRPr="00A50AF2">
        <w:rPr>
          <w:sz w:val="30"/>
          <w:szCs w:val="28"/>
        </w:rPr>
        <w:t>.</w:t>
      </w:r>
    </w:p>
    <w:p w14:paraId="5855E885" w14:textId="77777777" w:rsidR="00A50AF2" w:rsidRPr="00A50AF2" w:rsidRDefault="00A50AF2" w:rsidP="00A50AF2">
      <w:pPr>
        <w:pStyle w:val="KeinLeerraum"/>
        <w:ind w:left="360"/>
        <w:rPr>
          <w:sz w:val="30"/>
          <w:szCs w:val="28"/>
        </w:rPr>
      </w:pPr>
    </w:p>
    <w:p w14:paraId="345C9D53" w14:textId="118FE521" w:rsidR="001A5C2C" w:rsidRPr="00A50AF2" w:rsidRDefault="00973AF0" w:rsidP="00973AF0">
      <w:pPr>
        <w:pStyle w:val="KeinLeerraum"/>
        <w:numPr>
          <w:ilvl w:val="0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Fazit: Die Idee SALINAS hat den Endlagerstandort – neben anderen, wichtigen Faktoren - mit zu Fall gebracht</w:t>
      </w:r>
    </w:p>
    <w:p w14:paraId="3687922C" w14:textId="77777777" w:rsidR="00973AF0" w:rsidRPr="00A50AF2" w:rsidRDefault="00973AF0" w:rsidP="00973AF0">
      <w:pPr>
        <w:pStyle w:val="KeinLeerraum"/>
        <w:rPr>
          <w:sz w:val="30"/>
          <w:szCs w:val="28"/>
        </w:rPr>
      </w:pPr>
    </w:p>
    <w:p w14:paraId="25C5E74A" w14:textId="1152C35E" w:rsidR="00973AF0" w:rsidRPr="00A50AF2" w:rsidRDefault="00973AF0" w:rsidP="00973AF0">
      <w:pPr>
        <w:pStyle w:val="KeinLeerraum"/>
        <w:numPr>
          <w:ilvl w:val="0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Ebenfalls wichtig: SALINAS war das Bindeglied zwischen den Salz-</w:t>
      </w:r>
      <w:proofErr w:type="spellStart"/>
      <w:r w:rsidRPr="00A50AF2">
        <w:rPr>
          <w:sz w:val="30"/>
          <w:szCs w:val="28"/>
        </w:rPr>
        <w:t>Grundeigentümerinteresssen</w:t>
      </w:r>
      <w:proofErr w:type="spellEnd"/>
      <w:r w:rsidRPr="00A50AF2">
        <w:rPr>
          <w:sz w:val="30"/>
          <w:szCs w:val="28"/>
        </w:rPr>
        <w:t xml:space="preserve"> von Graf Bernstorff bzw. den Kirchen zu dem Rest des Widerstandes, namentlich der BI</w:t>
      </w:r>
    </w:p>
    <w:p w14:paraId="073D46F7" w14:textId="77777777" w:rsidR="00973AF0" w:rsidRPr="00A50AF2" w:rsidRDefault="00973AF0" w:rsidP="00973AF0">
      <w:pPr>
        <w:pStyle w:val="Listenabsatz"/>
        <w:rPr>
          <w:sz w:val="30"/>
          <w:szCs w:val="28"/>
        </w:rPr>
      </w:pPr>
    </w:p>
    <w:p w14:paraId="20DE3252" w14:textId="6859277D" w:rsidR="00973AF0" w:rsidRPr="00A50AF2" w:rsidRDefault="00973AF0" w:rsidP="00973AF0">
      <w:pPr>
        <w:pStyle w:val="KeinLeerraum"/>
        <w:numPr>
          <w:ilvl w:val="0"/>
          <w:numId w:val="4"/>
        </w:numPr>
        <w:rPr>
          <w:sz w:val="30"/>
          <w:szCs w:val="28"/>
        </w:rPr>
      </w:pPr>
      <w:r w:rsidRPr="00A50AF2">
        <w:rPr>
          <w:sz w:val="30"/>
          <w:szCs w:val="28"/>
        </w:rPr>
        <w:t>Das Scheitern des Endlagers ist also so gesehen ein „Gesamtkunstwerk“, an dem alle nach ihren besten Kräften mitgewirkt haben.</w:t>
      </w:r>
    </w:p>
    <w:p w14:paraId="573F80D4" w14:textId="77777777" w:rsidR="00A50AF2" w:rsidRPr="00A50AF2" w:rsidRDefault="00A50AF2" w:rsidP="00A50AF2">
      <w:pPr>
        <w:pStyle w:val="KeinLeerraum"/>
        <w:rPr>
          <w:sz w:val="30"/>
          <w:szCs w:val="28"/>
        </w:rPr>
      </w:pPr>
    </w:p>
    <w:p w14:paraId="18D13D74" w14:textId="77777777" w:rsidR="00A50AF2" w:rsidRPr="00A50AF2" w:rsidRDefault="00A50AF2" w:rsidP="00A50AF2">
      <w:pPr>
        <w:pStyle w:val="KeinLeerraum"/>
        <w:rPr>
          <w:sz w:val="30"/>
          <w:szCs w:val="28"/>
        </w:rPr>
      </w:pPr>
    </w:p>
    <w:p w14:paraId="7C6646E6" w14:textId="59D9EFCC" w:rsidR="00A50AF2" w:rsidRPr="00A50AF2" w:rsidRDefault="00A50AF2" w:rsidP="00A50AF2">
      <w:pPr>
        <w:pStyle w:val="KeinLeerraum"/>
        <w:rPr>
          <w:sz w:val="30"/>
          <w:szCs w:val="28"/>
        </w:rPr>
      </w:pPr>
      <w:r w:rsidRPr="00A50AF2">
        <w:rPr>
          <w:sz w:val="30"/>
          <w:szCs w:val="28"/>
        </w:rPr>
        <w:t>Wir haben immer gesagt: „Ein Lächeln wird sie besiegen“</w:t>
      </w:r>
    </w:p>
    <w:p w14:paraId="4AF7E510" w14:textId="14DCAAC1" w:rsidR="00A50AF2" w:rsidRPr="00A50AF2" w:rsidRDefault="00A50AF2" w:rsidP="00A50AF2">
      <w:pPr>
        <w:pStyle w:val="KeinLeerraum"/>
        <w:rPr>
          <w:sz w:val="30"/>
          <w:szCs w:val="28"/>
        </w:rPr>
      </w:pPr>
      <w:r w:rsidRPr="00A50AF2">
        <w:rPr>
          <w:sz w:val="30"/>
          <w:szCs w:val="28"/>
        </w:rPr>
        <w:t>In diesem Sinne:</w:t>
      </w:r>
    </w:p>
    <w:p w14:paraId="5F54BE47" w14:textId="77777777" w:rsidR="00A50AF2" w:rsidRPr="00A50AF2" w:rsidRDefault="00A50AF2" w:rsidP="00A50AF2">
      <w:pPr>
        <w:pStyle w:val="KeinLeerraum"/>
        <w:rPr>
          <w:sz w:val="34"/>
          <w:szCs w:val="32"/>
        </w:rPr>
      </w:pPr>
      <w:r w:rsidRPr="00A50AF2">
        <w:rPr>
          <w:sz w:val="34"/>
          <w:szCs w:val="32"/>
        </w:rPr>
        <w:t>„Strahlungsfrei aufs Frühstücks-Ei“</w:t>
      </w:r>
    </w:p>
    <w:p w14:paraId="511486C7" w14:textId="77777777" w:rsidR="00A50AF2" w:rsidRPr="00A50AF2" w:rsidRDefault="00A50AF2" w:rsidP="00A50AF2">
      <w:pPr>
        <w:pStyle w:val="KeinLeerraum"/>
        <w:rPr>
          <w:sz w:val="30"/>
          <w:szCs w:val="28"/>
        </w:rPr>
      </w:pPr>
    </w:p>
    <w:p w14:paraId="4B1227D3" w14:textId="77777777" w:rsidR="00A50AF2" w:rsidRPr="00A50AF2" w:rsidRDefault="00A50AF2" w:rsidP="00A50AF2">
      <w:pPr>
        <w:pStyle w:val="KeinLeerraum"/>
        <w:rPr>
          <w:sz w:val="30"/>
          <w:szCs w:val="28"/>
        </w:rPr>
      </w:pPr>
    </w:p>
    <w:sectPr w:rsidR="00A50AF2" w:rsidRPr="00A50AF2" w:rsidSect="00021E68">
      <w:pgSz w:w="11906" w:h="16838"/>
      <w:pgMar w:top="426" w:right="1417" w:bottom="1134" w:left="1417" w:header="0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A75A" w14:textId="77777777" w:rsidR="0032342A" w:rsidRDefault="0032342A" w:rsidP="002B3081">
      <w:pPr>
        <w:spacing w:line="240" w:lineRule="auto"/>
      </w:pPr>
      <w:r>
        <w:separator/>
      </w:r>
    </w:p>
  </w:endnote>
  <w:endnote w:type="continuationSeparator" w:id="0">
    <w:p w14:paraId="7CBCA6DD" w14:textId="77777777" w:rsidR="0032342A" w:rsidRDefault="0032342A" w:rsidP="002B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92F29" w14:textId="77777777" w:rsidR="0032342A" w:rsidRDefault="0032342A" w:rsidP="002B3081">
      <w:pPr>
        <w:spacing w:line="240" w:lineRule="auto"/>
      </w:pPr>
      <w:r>
        <w:separator/>
      </w:r>
    </w:p>
  </w:footnote>
  <w:footnote w:type="continuationSeparator" w:id="0">
    <w:p w14:paraId="355D7499" w14:textId="77777777" w:rsidR="0032342A" w:rsidRDefault="0032342A" w:rsidP="002B30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1DE1"/>
    <w:multiLevelType w:val="multilevel"/>
    <w:tmpl w:val="17CA1E6A"/>
    <w:lvl w:ilvl="0">
      <w:start w:val="1"/>
      <w:numFmt w:val="ordin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ordinal"/>
      <w:pStyle w:val="berschrift2"/>
      <w:lvlText w:val="%1%2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57" w:hanging="357"/>
      </w:pPr>
      <w:rPr>
        <w:rFonts w:hint="default"/>
      </w:rPr>
    </w:lvl>
    <w:lvl w:ilvl="3">
      <w:start w:val="27"/>
      <w:numFmt w:val="lowerLetter"/>
      <w:lvlText w:val="%4."/>
      <w:lvlJc w:val="left"/>
      <w:pPr>
        <w:ind w:left="357" w:hanging="357"/>
      </w:pPr>
      <w:rPr>
        <w:rFonts w:hint="default"/>
      </w:rPr>
    </w:lvl>
    <w:lvl w:ilvl="4">
      <w:start w:val="53"/>
      <w:numFmt w:val="lowerLetter"/>
      <w:lvlText w:val="%5."/>
      <w:lvlJc w:val="left"/>
      <w:pPr>
        <w:ind w:left="2484" w:hanging="357"/>
      </w:pPr>
      <w:rPr>
        <w:rFonts w:hint="default"/>
      </w:rPr>
    </w:lvl>
    <w:lvl w:ilvl="5">
      <w:start w:val="79"/>
      <w:numFmt w:val="lowerLetter"/>
      <w:lvlText w:val="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" w15:restartNumberingAfterBreak="0">
    <w:nsid w:val="672302E9"/>
    <w:multiLevelType w:val="hybridMultilevel"/>
    <w:tmpl w:val="5DD05462"/>
    <w:lvl w:ilvl="0" w:tplc="F92E1AF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742399">
    <w:abstractNumId w:val="0"/>
  </w:num>
  <w:num w:numId="2" w16cid:durableId="1690985102">
    <w:abstractNumId w:val="0"/>
  </w:num>
  <w:num w:numId="3" w16cid:durableId="667368314">
    <w:abstractNumId w:val="0"/>
  </w:num>
  <w:num w:numId="4" w16cid:durableId="178345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2C"/>
    <w:rsid w:val="00021E68"/>
    <w:rsid w:val="001A5C2C"/>
    <w:rsid w:val="002B3081"/>
    <w:rsid w:val="002B46D6"/>
    <w:rsid w:val="0032342A"/>
    <w:rsid w:val="00406328"/>
    <w:rsid w:val="004A2AD9"/>
    <w:rsid w:val="00525F95"/>
    <w:rsid w:val="00530C11"/>
    <w:rsid w:val="005D3CBD"/>
    <w:rsid w:val="00635E07"/>
    <w:rsid w:val="00656E4F"/>
    <w:rsid w:val="006F2C90"/>
    <w:rsid w:val="00723727"/>
    <w:rsid w:val="00764BF3"/>
    <w:rsid w:val="007C0D34"/>
    <w:rsid w:val="00973AF0"/>
    <w:rsid w:val="00A50AF2"/>
    <w:rsid w:val="00A9708B"/>
    <w:rsid w:val="00BE700F"/>
    <w:rsid w:val="00C656BA"/>
    <w:rsid w:val="00C85C02"/>
    <w:rsid w:val="00CC2ADB"/>
    <w:rsid w:val="00D250A5"/>
    <w:rsid w:val="00D3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E9138"/>
  <w15:chartTrackingRefBased/>
  <w15:docId w15:val="{040FDC15-511C-4444-B13A-225FF9A0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C656BA"/>
    <w:pPr>
      <w:spacing w:after="0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5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aliases w:val="3. Ebene 1"/>
    <w:basedOn w:val="Standard"/>
    <w:next w:val="Standard"/>
    <w:link w:val="berschrift2Zchn"/>
    <w:qFormat/>
    <w:rsid w:val="00C85C02"/>
    <w:pPr>
      <w:widowControl w:val="0"/>
      <w:numPr>
        <w:ilvl w:val="1"/>
        <w:numId w:val="3"/>
      </w:numPr>
      <w:spacing w:line="240" w:lineRule="auto"/>
      <w:jc w:val="both"/>
      <w:outlineLvl w:val="1"/>
    </w:pPr>
    <w:rPr>
      <w:rFonts w:eastAsia="Calibri" w:cs="Calibri"/>
      <w:color w:val="000000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A5C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5C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5C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5C2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5C2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5C2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5C2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656B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rschrift2Zchn">
    <w:name w:val="Überschrift 2 Zchn"/>
    <w:aliases w:val="3. Ebene 1 Zchn"/>
    <w:basedOn w:val="Absatz-Standardschriftart"/>
    <w:link w:val="berschrift2"/>
    <w:rsid w:val="00C85C02"/>
    <w:rPr>
      <w:rFonts w:ascii="Times New Roman" w:eastAsia="Calibri" w:hAnsi="Times New Roman" w:cs="Calibri"/>
      <w:color w:val="000000"/>
      <w:sz w:val="24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5C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A5C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5C2C"/>
    <w:rPr>
      <w:rFonts w:eastAsiaTheme="majorEastAsia" w:cstheme="majorBidi"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5C2C"/>
    <w:rPr>
      <w:rFonts w:eastAsiaTheme="majorEastAsia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5C2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5C2C"/>
    <w:rPr>
      <w:rFonts w:eastAsiaTheme="majorEastAsia" w:cstheme="majorBidi"/>
      <w:color w:val="595959" w:themeColor="text1" w:themeTint="A6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5C2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5C2C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A5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5C2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A5C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A5C2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nabsatz">
    <w:name w:val="List Paragraph"/>
    <w:basedOn w:val="Standard"/>
    <w:uiPriority w:val="34"/>
    <w:qFormat/>
    <w:rsid w:val="001A5C2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A5C2C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A5C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A5C2C"/>
    <w:rPr>
      <w:rFonts w:ascii="Times New Roman" w:hAnsi="Times New Roman"/>
      <w:i/>
      <w:iCs/>
      <w:color w:val="2E74B5" w:themeColor="accent1" w:themeShade="BF"/>
      <w:sz w:val="24"/>
    </w:rPr>
  </w:style>
  <w:style w:type="character" w:styleId="IntensiverVerweis">
    <w:name w:val="Intense Reference"/>
    <w:basedOn w:val="Absatz-Standardschriftart"/>
    <w:uiPriority w:val="32"/>
    <w:qFormat/>
    <w:rsid w:val="001A5C2C"/>
    <w:rPr>
      <w:b/>
      <w:bCs/>
      <w:smallCaps/>
      <w:color w:val="2E74B5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B308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3081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B308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30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Hauswaldt</dc:creator>
  <cp:keywords/>
  <dc:description/>
  <cp:lastModifiedBy>Thomas Hauswaldt</cp:lastModifiedBy>
  <cp:revision>3</cp:revision>
  <cp:lastPrinted>2024-08-10T09:07:00Z</cp:lastPrinted>
  <dcterms:created xsi:type="dcterms:W3CDTF">2024-08-10T08:27:00Z</dcterms:created>
  <dcterms:modified xsi:type="dcterms:W3CDTF">2024-08-10T09:08:00Z</dcterms:modified>
</cp:coreProperties>
</file>